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6B" w:rsidRPr="002D296B" w:rsidRDefault="002D296B" w:rsidP="002D296B">
      <w:pPr>
        <w:pStyle w:val="berschrift1"/>
        <w:spacing w:after="120" w:line="320" w:lineRule="exact"/>
        <w:rPr>
          <w:rFonts w:ascii="Calibri" w:hAnsi="Calibri" w:cs="Arial"/>
        </w:rPr>
      </w:pPr>
      <w:r>
        <w:rPr>
          <w:rFonts w:ascii="Calibri" w:hAnsi="Calibri" w:cs="Arial"/>
        </w:rPr>
        <w:t>Update-Log:</w:t>
      </w:r>
      <w:r w:rsidRPr="00E70E18">
        <w:rPr>
          <w:rFonts w:ascii="Calibri" w:hAnsi="Calibri" w:cs="Arial"/>
        </w:rPr>
        <w:t xml:space="preserve"> </w:t>
      </w:r>
      <w:proofErr w:type="spellStart"/>
      <w:r w:rsidR="00BD6059">
        <w:rPr>
          <w:rFonts w:ascii="Calibri" w:hAnsi="Calibri" w:cs="Arial"/>
        </w:rPr>
        <w:t>Bugfixes</w:t>
      </w:r>
      <w:proofErr w:type="spellEnd"/>
      <w:r w:rsidR="00BD6059">
        <w:rPr>
          <w:rFonts w:ascii="Calibri" w:hAnsi="Calibri" w:cs="Arial"/>
        </w:rPr>
        <w:t xml:space="preserve"> Stadtplan</w:t>
      </w:r>
      <w:r>
        <w:rPr>
          <w:rFonts w:ascii="Calibri" w:hAnsi="Calibri" w:cs="Arial"/>
        </w:rPr>
        <w:br/>
      </w:r>
      <w:r w:rsidRPr="00E70E18">
        <w:rPr>
          <w:rFonts w:ascii="Calibri" w:hAnsi="Calibri" w:cs="Arial"/>
        </w:rPr>
        <w:t>(</w:t>
      </w:r>
      <w:r>
        <w:rPr>
          <w:rFonts w:ascii="Calibri" w:hAnsi="Calibri"/>
        </w:rPr>
        <w:t>7.11-201</w:t>
      </w:r>
      <w:r w:rsidR="003646E1">
        <w:rPr>
          <w:rFonts w:ascii="Calibri" w:hAnsi="Calibri"/>
        </w:rPr>
        <w:t>6</w:t>
      </w:r>
      <w:r w:rsidRPr="00E70E18">
        <w:rPr>
          <w:rFonts w:ascii="Calibri" w:hAnsi="Calibri"/>
        </w:rPr>
        <w:t>-</w:t>
      </w:r>
      <w:r w:rsidR="00B3086F">
        <w:rPr>
          <w:rFonts w:ascii="Calibri" w:hAnsi="Calibri"/>
        </w:rPr>
        <w:t>09</w:t>
      </w:r>
      <w:r w:rsidRPr="00E70E18">
        <w:rPr>
          <w:rFonts w:ascii="Calibri" w:hAnsi="Calibri"/>
        </w:rPr>
        <w:t>-</w:t>
      </w:r>
      <w:r w:rsidR="00B3086F">
        <w:rPr>
          <w:rFonts w:ascii="Calibri" w:hAnsi="Calibri"/>
        </w:rPr>
        <w:t>28</w:t>
      </w:r>
      <w:r>
        <w:rPr>
          <w:rFonts w:ascii="Calibri" w:hAnsi="Calibri" w:cs="Arial"/>
        </w:rPr>
        <w:t>)</w:t>
      </w:r>
    </w:p>
    <w:p w:rsidR="002D296B" w:rsidRPr="0026182F" w:rsidRDefault="002D296B" w:rsidP="002D296B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981"/>
        <w:gridCol w:w="7307"/>
      </w:tblGrid>
      <w:tr w:rsidR="002D296B" w:rsidRPr="0026182F" w:rsidTr="00AA5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2D296B" w:rsidRPr="0026182F" w:rsidRDefault="002D296B" w:rsidP="00325128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7307" w:type="dxa"/>
          </w:tcPr>
          <w:p w:rsidR="002D296B" w:rsidRPr="0026182F" w:rsidRDefault="002D296B" w:rsidP="0032512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4440EC" w:rsidRPr="0026182F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4440EC" w:rsidRPr="00803739" w:rsidRDefault="00CF6997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Barrierefreier Stadtführer</w:t>
            </w:r>
          </w:p>
        </w:tc>
        <w:tc>
          <w:tcPr>
            <w:tcW w:w="7307" w:type="dxa"/>
          </w:tcPr>
          <w:p w:rsidR="004440EC" w:rsidRPr="004440EC" w:rsidRDefault="00CF6997" w:rsidP="00CF699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Neue Modulerweiterung</w:t>
            </w:r>
          </w:p>
        </w:tc>
      </w:tr>
      <w:tr w:rsidR="003878BB" w:rsidRPr="00620BCE" w:rsidTr="00AA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3878BB" w:rsidRPr="003878BB" w:rsidRDefault="007B4166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Absatz</w:t>
            </w:r>
          </w:p>
        </w:tc>
        <w:tc>
          <w:tcPr>
            <w:tcW w:w="7307" w:type="dxa"/>
          </w:tcPr>
          <w:p w:rsidR="003878BB" w:rsidRPr="00EF73EA" w:rsidRDefault="00154D1D" w:rsidP="007705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Bei E</w:t>
            </w:r>
            <w:r w:rsidR="00EC1070">
              <w:rPr>
                <w:lang w:eastAsia="en-US"/>
              </w:rPr>
              <w:t>in- und Ausklappbaren Absätzen rückte die zweite Zeile nicht weit genug nach rechts, dies wurde behoben.</w:t>
            </w:r>
          </w:p>
        </w:tc>
      </w:tr>
      <w:tr w:rsidR="002A491E" w:rsidRPr="00620BCE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2A491E" w:rsidRDefault="002A491E" w:rsidP="00325128">
            <w:pPr>
              <w:spacing w:before="60" w:after="6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Newsletter</w:t>
            </w:r>
          </w:p>
        </w:tc>
        <w:tc>
          <w:tcPr>
            <w:tcW w:w="7307" w:type="dxa"/>
          </w:tcPr>
          <w:p w:rsidR="002A491E" w:rsidRDefault="002A491E" w:rsidP="007705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Das Impressum bzw. ein Link dorthin wurde aufgenommen.</w:t>
            </w:r>
          </w:p>
        </w:tc>
      </w:tr>
      <w:tr w:rsidR="001C5B33" w:rsidRPr="00620BCE" w:rsidTr="00AA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1C5B33" w:rsidRDefault="001C5B33" w:rsidP="00325128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Mehrsprachigkeit</w:t>
            </w:r>
          </w:p>
        </w:tc>
        <w:tc>
          <w:tcPr>
            <w:tcW w:w="7307" w:type="dxa"/>
          </w:tcPr>
          <w:p w:rsidR="001C5B33" w:rsidRDefault="001C5B33" w:rsidP="007705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Die lokale Suche wurde in anderen Sprachen noch mit falschen Umbrüchen und Abständen angezeigt, dies wurde korrigiert.</w:t>
            </w:r>
          </w:p>
        </w:tc>
      </w:tr>
      <w:tr w:rsidR="009F0A40" w:rsidRPr="00620BCE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9F0A40" w:rsidRDefault="009F0A40" w:rsidP="00325128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API-user</w:t>
            </w:r>
          </w:p>
        </w:tc>
        <w:tc>
          <w:tcPr>
            <w:tcW w:w="7307" w:type="dxa"/>
          </w:tcPr>
          <w:p w:rsidR="009F0A40" w:rsidRDefault="009F0A40" w:rsidP="007705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Diverse Optimierungen der Aktionen des API-Users, insbesondere beim An- und Abmelden-</w:t>
            </w:r>
          </w:p>
        </w:tc>
      </w:tr>
      <w:tr w:rsidR="00811864" w:rsidRPr="00620BCE" w:rsidTr="00AA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811864" w:rsidRDefault="00811864" w:rsidP="00325128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Stadtplanmodul</w:t>
            </w:r>
          </w:p>
        </w:tc>
        <w:tc>
          <w:tcPr>
            <w:tcW w:w="7307" w:type="dxa"/>
          </w:tcPr>
          <w:p w:rsidR="00811864" w:rsidRDefault="00811864" w:rsidP="007705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Neue POI-Symbolbilder hinzugekommen</w:t>
            </w:r>
          </w:p>
        </w:tc>
      </w:tr>
      <w:tr w:rsidR="00811864" w:rsidRPr="00620BCE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811864" w:rsidRDefault="00811864" w:rsidP="00325128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Symbolbilder</w:t>
            </w:r>
          </w:p>
        </w:tc>
        <w:tc>
          <w:tcPr>
            <w:tcW w:w="7307" w:type="dxa"/>
          </w:tcPr>
          <w:p w:rsidR="00811864" w:rsidRDefault="00811864" w:rsidP="007705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Neue Symbolbilder hinzugekommen</w:t>
            </w:r>
          </w:p>
        </w:tc>
      </w:tr>
      <w:tr w:rsidR="009B3E4A" w:rsidRPr="00620BCE" w:rsidTr="00AA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9B3E4A" w:rsidRDefault="009B3E4A" w:rsidP="00325128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Flash</w:t>
            </w:r>
          </w:p>
        </w:tc>
        <w:tc>
          <w:tcPr>
            <w:tcW w:w="7307" w:type="dxa"/>
          </w:tcPr>
          <w:p w:rsidR="009B3E4A" w:rsidRDefault="009B3E4A" w:rsidP="00154D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154D1D">
              <w:rPr>
                <w:lang w:eastAsia="en-US"/>
              </w:rPr>
              <w:t xml:space="preserve">Um Flash-Fallbacks und </w:t>
            </w:r>
            <w:proofErr w:type="spellStart"/>
            <w:r w:rsidRPr="00154D1D">
              <w:rPr>
                <w:lang w:eastAsia="en-US"/>
              </w:rPr>
              <w:t>Detection</w:t>
            </w:r>
            <w:proofErr w:type="spellEnd"/>
            <w:r w:rsidRPr="00154D1D">
              <w:rPr>
                <w:lang w:eastAsia="en-US"/>
              </w:rPr>
              <w:t xml:space="preserve"> von HTML5 Elementen anbieten zu können, muss der momentane </w:t>
            </w:r>
            <w:proofErr w:type="spellStart"/>
            <w:r w:rsidRPr="00154D1D">
              <w:rPr>
                <w:lang w:eastAsia="en-US"/>
              </w:rPr>
              <w:t>Build</w:t>
            </w:r>
            <w:proofErr w:type="spellEnd"/>
            <w:r w:rsidRPr="00154D1D">
              <w:rPr>
                <w:lang w:eastAsia="en-US"/>
              </w:rPr>
              <w:t xml:space="preserve"> von </w:t>
            </w:r>
            <w:proofErr w:type="spellStart"/>
            <w:r w:rsidRPr="00154D1D">
              <w:rPr>
                <w:lang w:eastAsia="en-US"/>
              </w:rPr>
              <w:t>Modernizr</w:t>
            </w:r>
            <w:proofErr w:type="spellEnd"/>
            <w:r w:rsidRPr="00154D1D">
              <w:rPr>
                <w:lang w:eastAsia="en-US"/>
              </w:rPr>
              <w:t xml:space="preserve"> um d</w:t>
            </w:r>
            <w:r w:rsidR="00154D1D">
              <w:rPr>
                <w:lang w:eastAsia="en-US"/>
              </w:rPr>
              <w:t xml:space="preserve">iverse Tests erweiterte werden. Die alte Version </w:t>
            </w:r>
            <w:r w:rsidRPr="00154D1D">
              <w:rPr>
                <w:lang w:eastAsia="en-US"/>
              </w:rPr>
              <w:t>2.7.2 ist von 2014</w:t>
            </w:r>
            <w:r w:rsidR="00154D1D">
              <w:rPr>
                <w:lang w:eastAsia="en-US"/>
              </w:rPr>
              <w:t>, diese wurde aktualisiert</w:t>
            </w:r>
            <w:r w:rsidRPr="00154D1D">
              <w:rPr>
                <w:lang w:eastAsia="en-US"/>
              </w:rPr>
              <w:t>. Angepasst wurde das Template 01_htmlstart_2_d.</w:t>
            </w:r>
          </w:p>
        </w:tc>
      </w:tr>
      <w:tr w:rsidR="009D157D" w:rsidRPr="00620BCE" w:rsidTr="00A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9D157D" w:rsidRDefault="009D157D" w:rsidP="00325128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Sitzungen</w:t>
            </w:r>
          </w:p>
        </w:tc>
        <w:tc>
          <w:tcPr>
            <w:tcW w:w="7307" w:type="dxa"/>
          </w:tcPr>
          <w:p w:rsidR="009D157D" w:rsidRPr="00154D1D" w:rsidRDefault="009D157D" w:rsidP="007705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154D1D">
              <w:rPr>
                <w:lang w:eastAsia="en-US"/>
              </w:rPr>
              <w:t>Die Sitzungsübersichten staatlich und städtisch wurden aus dem Seitencontainer entfernt, da die Nutzung für die Deputationen nicht über das Sitzungsmodul erfolgt.</w:t>
            </w:r>
          </w:p>
        </w:tc>
      </w:tr>
      <w:tr w:rsidR="009D157D" w:rsidRPr="00620BCE" w:rsidTr="00AA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9D157D" w:rsidRDefault="00C80CC0" w:rsidP="00325128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Personen</w:t>
            </w:r>
          </w:p>
        </w:tc>
        <w:tc>
          <w:tcPr>
            <w:tcW w:w="7307" w:type="dxa"/>
          </w:tcPr>
          <w:p w:rsidR="009D157D" w:rsidRPr="00154D1D" w:rsidRDefault="00C80CC0" w:rsidP="007705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154D1D">
              <w:rPr>
                <w:lang w:eastAsia="en-US"/>
              </w:rPr>
              <w:t>Die Faxvorbelegung wurde angepasst auf 496-</w:t>
            </w:r>
          </w:p>
        </w:tc>
      </w:tr>
    </w:tbl>
    <w:p w:rsidR="00325128" w:rsidRPr="0026182F" w:rsidRDefault="00325128" w:rsidP="00325128">
      <w:pPr>
        <w:pStyle w:val="berschrift1"/>
        <w:spacing w:after="120" w:line="320" w:lineRule="exact"/>
        <w:rPr>
          <w:rFonts w:ascii="Calibri" w:hAnsi="Calibri" w:cs="Arial"/>
          <w:b/>
          <w:i/>
        </w:rPr>
      </w:pPr>
      <w:r w:rsidRPr="0026182F">
        <w:rPr>
          <w:rFonts w:ascii="Calibri" w:hAnsi="Calibri" w:cs="Arial"/>
          <w:b/>
          <w:i/>
        </w:rPr>
        <w:t>Fehlerbehebung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981"/>
        <w:gridCol w:w="7307"/>
      </w:tblGrid>
      <w:tr w:rsidR="00325128" w:rsidRPr="0026182F" w:rsidTr="001A1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325128" w:rsidRPr="0026182F" w:rsidRDefault="00325128" w:rsidP="008E6F39">
            <w:pPr>
              <w:spacing w:before="60" w:after="60"/>
              <w:rPr>
                <w:lang w:eastAsia="en-US"/>
              </w:rPr>
            </w:pPr>
            <w:r w:rsidRPr="0026182F">
              <w:rPr>
                <w:lang w:eastAsia="en-US"/>
              </w:rPr>
              <w:t>Modul</w:t>
            </w:r>
          </w:p>
        </w:tc>
        <w:tc>
          <w:tcPr>
            <w:tcW w:w="7307" w:type="dxa"/>
          </w:tcPr>
          <w:p w:rsidR="00325128" w:rsidRPr="0026182F" w:rsidRDefault="00325128" w:rsidP="008E6F3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26182F">
              <w:rPr>
                <w:lang w:eastAsia="en-US"/>
              </w:rPr>
              <w:t>Verbesserung</w:t>
            </w:r>
          </w:p>
        </w:tc>
      </w:tr>
      <w:tr w:rsidR="003C4B99" w:rsidRPr="0026182F" w:rsidTr="0024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3C4B99" w:rsidRPr="00F53A56" w:rsidRDefault="0077050A" w:rsidP="00242A10">
            <w:pPr>
              <w:spacing w:before="60" w:after="60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Breadcrumb</w:t>
            </w:r>
            <w:proofErr w:type="spellEnd"/>
          </w:p>
        </w:tc>
        <w:tc>
          <w:tcPr>
            <w:tcW w:w="7307" w:type="dxa"/>
          </w:tcPr>
          <w:p w:rsidR="003C4B99" w:rsidRDefault="0077050A" w:rsidP="007705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154D1D">
              <w:rPr>
                <w:lang w:eastAsia="en-US"/>
              </w:rPr>
              <w:t xml:space="preserve">Dort läuft die </w:t>
            </w:r>
            <w:proofErr w:type="spellStart"/>
            <w:r w:rsidRPr="00154D1D">
              <w:rPr>
                <w:lang w:eastAsia="en-US"/>
              </w:rPr>
              <w:t>Breadcrumb</w:t>
            </w:r>
            <w:proofErr w:type="spellEnd"/>
            <w:r w:rsidRPr="00154D1D">
              <w:rPr>
                <w:lang w:eastAsia="en-US"/>
              </w:rPr>
              <w:t xml:space="preserve"> im IE über die Überschrift erster Ordnung. Dies wurde durch Korrektur von </w:t>
            </w:r>
            <w:hyperlink r:id="rId8" w:history="1">
              <w:r w:rsidRPr="00154D1D">
                <w:rPr>
                  <w:lang w:eastAsia="en-US"/>
                </w:rPr>
                <w:t>01_styles_d</w:t>
              </w:r>
            </w:hyperlink>
            <w:r w:rsidRPr="00154D1D">
              <w:rPr>
                <w:lang w:eastAsia="en-US"/>
              </w:rPr>
              <w:t xml:space="preserve"> gefixt</w:t>
            </w:r>
          </w:p>
        </w:tc>
      </w:tr>
      <w:tr w:rsidR="00E3790D" w:rsidRPr="0026182F" w:rsidTr="0024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E3790D" w:rsidRDefault="00E3790D" w:rsidP="00242A10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Geschlossene Benutzergruppe</w:t>
            </w:r>
          </w:p>
        </w:tc>
        <w:tc>
          <w:tcPr>
            <w:tcW w:w="7307" w:type="dxa"/>
          </w:tcPr>
          <w:p w:rsidR="00E3790D" w:rsidRPr="00154D1D" w:rsidRDefault="00E3790D" w:rsidP="007705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154D1D">
              <w:rPr>
                <w:lang w:eastAsia="en-US"/>
              </w:rPr>
              <w:t>Links führen zur Startseite, die Weiterleitung wurde kurzfristig ausgesetzt. Dieser Fehler wurde behoben.</w:t>
            </w:r>
          </w:p>
        </w:tc>
      </w:tr>
      <w:tr w:rsidR="005B345E" w:rsidRPr="0026182F" w:rsidTr="0024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5B345E" w:rsidRDefault="005B345E" w:rsidP="00242A10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IFG</w:t>
            </w:r>
          </w:p>
        </w:tc>
        <w:tc>
          <w:tcPr>
            <w:tcW w:w="7307" w:type="dxa"/>
          </w:tcPr>
          <w:p w:rsidR="005B345E" w:rsidRPr="00154D1D" w:rsidRDefault="005B345E" w:rsidP="0077050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154D1D">
              <w:rPr>
                <w:lang w:eastAsia="en-US"/>
              </w:rPr>
              <w:t>Bei der Auswahl der Lizenz im Container Metainformationen wird ein Link zur Übersicht der CC-Lizenzen aufgeführt, der aktualisiert werden musste.</w:t>
            </w:r>
          </w:p>
        </w:tc>
      </w:tr>
      <w:tr w:rsidR="006012D4" w:rsidRPr="0026182F" w:rsidTr="0024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6012D4" w:rsidRDefault="006012D4" w:rsidP="00242A10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Highlightbox</w:t>
            </w:r>
            <w:proofErr w:type="spellEnd"/>
          </w:p>
        </w:tc>
        <w:tc>
          <w:tcPr>
            <w:tcW w:w="7307" w:type="dxa"/>
          </w:tcPr>
          <w:p w:rsidR="006012D4" w:rsidRPr="00154D1D" w:rsidRDefault="006012D4" w:rsidP="00154D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Wenn in einem Absatz mehrere </w:t>
            </w:r>
            <w:proofErr w:type="spellStart"/>
            <w:r>
              <w:rPr>
                <w:lang w:eastAsia="en-US"/>
              </w:rPr>
              <w:t>Highlightboxen</w:t>
            </w:r>
            <w:proofErr w:type="spellEnd"/>
            <w:r>
              <w:rPr>
                <w:lang w:eastAsia="en-US"/>
              </w:rPr>
              <w:t xml:space="preserve"> stehen, ist die Anzeige korrekt. Bei nur einer </w:t>
            </w:r>
            <w:proofErr w:type="spellStart"/>
            <w:r>
              <w:rPr>
                <w:lang w:eastAsia="en-US"/>
              </w:rPr>
              <w:t>Highlightbox</w:t>
            </w:r>
            <w:proofErr w:type="spellEnd"/>
            <w:r>
              <w:rPr>
                <w:lang w:eastAsia="en-US"/>
              </w:rPr>
              <w:t xml:space="preserve"> eine ist, wird ein </w:t>
            </w:r>
            <w:proofErr w:type="spellStart"/>
            <w:r>
              <w:rPr>
                <w:lang w:eastAsia="en-US"/>
              </w:rPr>
              <w:t>schliessendes</w:t>
            </w:r>
            <w:proofErr w:type="spellEnd"/>
            <w:r>
              <w:rPr>
                <w:lang w:eastAsia="en-US"/>
              </w:rPr>
              <w:t xml:space="preserve"> "&lt;/div&gt;" zu viel eingebaut, das das nachfolgende HTML durcheinander bringt.</w:t>
            </w:r>
          </w:p>
        </w:tc>
      </w:tr>
      <w:tr w:rsidR="009B3E4A" w:rsidRPr="0026182F" w:rsidTr="00242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:rsidR="009B3E4A" w:rsidRDefault="009B3E4A" w:rsidP="00242A10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Bildergalerien</w:t>
            </w:r>
          </w:p>
        </w:tc>
        <w:tc>
          <w:tcPr>
            <w:tcW w:w="7307" w:type="dxa"/>
          </w:tcPr>
          <w:p w:rsidR="009B3E4A" w:rsidRDefault="00154D1D" w:rsidP="00154D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bookmarkStart w:id="0" w:name="_GoBack"/>
            <w:bookmarkEnd w:id="0"/>
            <w:r w:rsidR="009B3E4A" w:rsidRPr="00154D1D">
              <w:rPr>
                <w:lang w:eastAsia="en-US"/>
              </w:rPr>
              <w:t>nter Chrome (51.0.2700.106 m) in der Galerie die ersten beiden Bilder Leer sind. Der IE (11.0.9600.18378) zeigt es richtig an. Korrigiert wurde das im Template 05_content_bildleiste_d</w:t>
            </w:r>
          </w:p>
        </w:tc>
      </w:tr>
    </w:tbl>
    <w:p w:rsidR="007B4166" w:rsidRDefault="007B4166" w:rsidP="00154D1D"/>
    <w:sectPr w:rsidR="007B4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BE" w:rsidRDefault="008A1EBE" w:rsidP="008B58BF">
      <w:pPr>
        <w:spacing w:after="0" w:line="240" w:lineRule="auto"/>
      </w:pPr>
      <w:r>
        <w:separator/>
      </w:r>
    </w:p>
  </w:endnote>
  <w:endnote w:type="continuationSeparator" w:id="0">
    <w:p w:rsidR="008A1EBE" w:rsidRDefault="008A1EBE" w:rsidP="008B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BE" w:rsidRDefault="008A1EBE" w:rsidP="008B58BF">
      <w:pPr>
        <w:spacing w:after="0" w:line="240" w:lineRule="auto"/>
      </w:pPr>
      <w:r>
        <w:separator/>
      </w:r>
    </w:p>
  </w:footnote>
  <w:footnote w:type="continuationSeparator" w:id="0">
    <w:p w:rsidR="008A1EBE" w:rsidRDefault="008A1EBE" w:rsidP="008B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BF" w:rsidRDefault="008B58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536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335C"/>
    <w:multiLevelType w:val="hybridMultilevel"/>
    <w:tmpl w:val="EBFCB0D4"/>
    <w:lvl w:ilvl="0" w:tplc="B1FCB8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620B"/>
    <w:multiLevelType w:val="hybridMultilevel"/>
    <w:tmpl w:val="C44C1EBA"/>
    <w:lvl w:ilvl="0" w:tplc="248ECC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60E7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A6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1EB5"/>
    <w:multiLevelType w:val="hybridMultilevel"/>
    <w:tmpl w:val="AD3EB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14B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11F3F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5742C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53F3"/>
    <w:multiLevelType w:val="hybridMultilevel"/>
    <w:tmpl w:val="B03A1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C37D8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DB40E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19"/>
    <w:rsid w:val="000102E2"/>
    <w:rsid w:val="0007149A"/>
    <w:rsid w:val="00083934"/>
    <w:rsid w:val="00084D13"/>
    <w:rsid w:val="000864C0"/>
    <w:rsid w:val="000F2262"/>
    <w:rsid w:val="001248B2"/>
    <w:rsid w:val="001370CF"/>
    <w:rsid w:val="00154D1D"/>
    <w:rsid w:val="0016192D"/>
    <w:rsid w:val="00162680"/>
    <w:rsid w:val="00173ACB"/>
    <w:rsid w:val="001800D2"/>
    <w:rsid w:val="001A1A15"/>
    <w:rsid w:val="001B6EBF"/>
    <w:rsid w:val="001B6EFB"/>
    <w:rsid w:val="001C5B33"/>
    <w:rsid w:val="001F022E"/>
    <w:rsid w:val="0020646D"/>
    <w:rsid w:val="002310F7"/>
    <w:rsid w:val="00233AB1"/>
    <w:rsid w:val="002345C2"/>
    <w:rsid w:val="00234731"/>
    <w:rsid w:val="00234CBB"/>
    <w:rsid w:val="00240E10"/>
    <w:rsid w:val="00257A4D"/>
    <w:rsid w:val="0026182F"/>
    <w:rsid w:val="0028760E"/>
    <w:rsid w:val="002A491E"/>
    <w:rsid w:val="002A6112"/>
    <w:rsid w:val="002D296B"/>
    <w:rsid w:val="002F429E"/>
    <w:rsid w:val="003100D0"/>
    <w:rsid w:val="00316C34"/>
    <w:rsid w:val="0032243B"/>
    <w:rsid w:val="00325128"/>
    <w:rsid w:val="00333D96"/>
    <w:rsid w:val="00337EC7"/>
    <w:rsid w:val="0034130F"/>
    <w:rsid w:val="0034360D"/>
    <w:rsid w:val="00346C14"/>
    <w:rsid w:val="003646E1"/>
    <w:rsid w:val="003745BF"/>
    <w:rsid w:val="0038579A"/>
    <w:rsid w:val="003878BB"/>
    <w:rsid w:val="003C4B99"/>
    <w:rsid w:val="003C526E"/>
    <w:rsid w:val="003E548D"/>
    <w:rsid w:val="003F1342"/>
    <w:rsid w:val="003F2B8C"/>
    <w:rsid w:val="004177F2"/>
    <w:rsid w:val="004267E0"/>
    <w:rsid w:val="00436789"/>
    <w:rsid w:val="004440EC"/>
    <w:rsid w:val="00452312"/>
    <w:rsid w:val="0045622B"/>
    <w:rsid w:val="00464CF3"/>
    <w:rsid w:val="0047027D"/>
    <w:rsid w:val="00481896"/>
    <w:rsid w:val="004924D7"/>
    <w:rsid w:val="004B1B7C"/>
    <w:rsid w:val="004B3119"/>
    <w:rsid w:val="004C4C1A"/>
    <w:rsid w:val="004D4675"/>
    <w:rsid w:val="004E3F3F"/>
    <w:rsid w:val="004F7B7C"/>
    <w:rsid w:val="00506268"/>
    <w:rsid w:val="0051045D"/>
    <w:rsid w:val="00510E23"/>
    <w:rsid w:val="0051390E"/>
    <w:rsid w:val="005216B7"/>
    <w:rsid w:val="00521DA4"/>
    <w:rsid w:val="005227C0"/>
    <w:rsid w:val="00533E5A"/>
    <w:rsid w:val="005616AD"/>
    <w:rsid w:val="00565A62"/>
    <w:rsid w:val="0057225B"/>
    <w:rsid w:val="00593569"/>
    <w:rsid w:val="005936A5"/>
    <w:rsid w:val="005A50F5"/>
    <w:rsid w:val="005B345E"/>
    <w:rsid w:val="005B6860"/>
    <w:rsid w:val="005B694A"/>
    <w:rsid w:val="005C380C"/>
    <w:rsid w:val="005C6249"/>
    <w:rsid w:val="005D3E0E"/>
    <w:rsid w:val="005F7C98"/>
    <w:rsid w:val="006012D4"/>
    <w:rsid w:val="00614D66"/>
    <w:rsid w:val="00620BCE"/>
    <w:rsid w:val="00623ABC"/>
    <w:rsid w:val="0066009A"/>
    <w:rsid w:val="00662A39"/>
    <w:rsid w:val="00664539"/>
    <w:rsid w:val="00664EB4"/>
    <w:rsid w:val="0066562C"/>
    <w:rsid w:val="00671B85"/>
    <w:rsid w:val="006806C7"/>
    <w:rsid w:val="00682170"/>
    <w:rsid w:val="00687D28"/>
    <w:rsid w:val="00691E2B"/>
    <w:rsid w:val="0069308F"/>
    <w:rsid w:val="006949F9"/>
    <w:rsid w:val="006B21E6"/>
    <w:rsid w:val="006B3A8A"/>
    <w:rsid w:val="006C2380"/>
    <w:rsid w:val="006C76BF"/>
    <w:rsid w:val="006E351B"/>
    <w:rsid w:val="006E6CF2"/>
    <w:rsid w:val="007027E5"/>
    <w:rsid w:val="00706981"/>
    <w:rsid w:val="00710BC7"/>
    <w:rsid w:val="00713A5A"/>
    <w:rsid w:val="007220E7"/>
    <w:rsid w:val="00745D3B"/>
    <w:rsid w:val="007625AF"/>
    <w:rsid w:val="007656EF"/>
    <w:rsid w:val="00767BDC"/>
    <w:rsid w:val="0077050A"/>
    <w:rsid w:val="00783D3E"/>
    <w:rsid w:val="007940F4"/>
    <w:rsid w:val="00794540"/>
    <w:rsid w:val="00797088"/>
    <w:rsid w:val="007A26B6"/>
    <w:rsid w:val="007B4166"/>
    <w:rsid w:val="007B5E17"/>
    <w:rsid w:val="007C11A0"/>
    <w:rsid w:val="007C7E5D"/>
    <w:rsid w:val="007E03D2"/>
    <w:rsid w:val="007E7E34"/>
    <w:rsid w:val="007F782F"/>
    <w:rsid w:val="00803739"/>
    <w:rsid w:val="00811864"/>
    <w:rsid w:val="00816EFC"/>
    <w:rsid w:val="00826CBB"/>
    <w:rsid w:val="0083086B"/>
    <w:rsid w:val="008509BF"/>
    <w:rsid w:val="008849EA"/>
    <w:rsid w:val="008865C0"/>
    <w:rsid w:val="008A1EBE"/>
    <w:rsid w:val="008B1955"/>
    <w:rsid w:val="008B2ECA"/>
    <w:rsid w:val="008B58BF"/>
    <w:rsid w:val="008D3FA2"/>
    <w:rsid w:val="008D50B0"/>
    <w:rsid w:val="008E5781"/>
    <w:rsid w:val="00914C11"/>
    <w:rsid w:val="00920F95"/>
    <w:rsid w:val="009245E5"/>
    <w:rsid w:val="0093611B"/>
    <w:rsid w:val="00970B4B"/>
    <w:rsid w:val="0097316C"/>
    <w:rsid w:val="0097513A"/>
    <w:rsid w:val="00996F0B"/>
    <w:rsid w:val="009A4290"/>
    <w:rsid w:val="009B3E4A"/>
    <w:rsid w:val="009C1AA8"/>
    <w:rsid w:val="009C1FC1"/>
    <w:rsid w:val="009D157D"/>
    <w:rsid w:val="009E2529"/>
    <w:rsid w:val="009F0A40"/>
    <w:rsid w:val="00A167DB"/>
    <w:rsid w:val="00A20144"/>
    <w:rsid w:val="00A350E1"/>
    <w:rsid w:val="00A43757"/>
    <w:rsid w:val="00A5535F"/>
    <w:rsid w:val="00A64B34"/>
    <w:rsid w:val="00A67E43"/>
    <w:rsid w:val="00AA1B29"/>
    <w:rsid w:val="00AA1BBF"/>
    <w:rsid w:val="00AA4C5B"/>
    <w:rsid w:val="00AA4F63"/>
    <w:rsid w:val="00AA5AAF"/>
    <w:rsid w:val="00AC6631"/>
    <w:rsid w:val="00AD5320"/>
    <w:rsid w:val="00B131BA"/>
    <w:rsid w:val="00B153C0"/>
    <w:rsid w:val="00B3086F"/>
    <w:rsid w:val="00B35348"/>
    <w:rsid w:val="00B41CD0"/>
    <w:rsid w:val="00B51590"/>
    <w:rsid w:val="00B53B6B"/>
    <w:rsid w:val="00B7255C"/>
    <w:rsid w:val="00BD1F3A"/>
    <w:rsid w:val="00BD6059"/>
    <w:rsid w:val="00C33FEB"/>
    <w:rsid w:val="00C357CB"/>
    <w:rsid w:val="00C53049"/>
    <w:rsid w:val="00C769C2"/>
    <w:rsid w:val="00C775D5"/>
    <w:rsid w:val="00C80CC0"/>
    <w:rsid w:val="00CB479A"/>
    <w:rsid w:val="00CC0978"/>
    <w:rsid w:val="00CD189F"/>
    <w:rsid w:val="00CD6B49"/>
    <w:rsid w:val="00CF0D45"/>
    <w:rsid w:val="00CF6997"/>
    <w:rsid w:val="00D043D1"/>
    <w:rsid w:val="00D0627F"/>
    <w:rsid w:val="00D15915"/>
    <w:rsid w:val="00D20A51"/>
    <w:rsid w:val="00D26B5A"/>
    <w:rsid w:val="00D31986"/>
    <w:rsid w:val="00D55AB6"/>
    <w:rsid w:val="00D56FC9"/>
    <w:rsid w:val="00D67255"/>
    <w:rsid w:val="00DA00BE"/>
    <w:rsid w:val="00DB2E76"/>
    <w:rsid w:val="00DB78FD"/>
    <w:rsid w:val="00DC65E3"/>
    <w:rsid w:val="00DC735A"/>
    <w:rsid w:val="00DE3A7E"/>
    <w:rsid w:val="00E13B19"/>
    <w:rsid w:val="00E13FE4"/>
    <w:rsid w:val="00E144FC"/>
    <w:rsid w:val="00E279AF"/>
    <w:rsid w:val="00E31983"/>
    <w:rsid w:val="00E37396"/>
    <w:rsid w:val="00E3790D"/>
    <w:rsid w:val="00E53D68"/>
    <w:rsid w:val="00E60F35"/>
    <w:rsid w:val="00E63315"/>
    <w:rsid w:val="00E83AA1"/>
    <w:rsid w:val="00EC1070"/>
    <w:rsid w:val="00EC55E5"/>
    <w:rsid w:val="00EC57C1"/>
    <w:rsid w:val="00ED74E0"/>
    <w:rsid w:val="00EF73EA"/>
    <w:rsid w:val="00F07DCD"/>
    <w:rsid w:val="00F175E3"/>
    <w:rsid w:val="00F311AC"/>
    <w:rsid w:val="00F33840"/>
    <w:rsid w:val="00F338B6"/>
    <w:rsid w:val="00F42416"/>
    <w:rsid w:val="00F46D39"/>
    <w:rsid w:val="00F51A2C"/>
    <w:rsid w:val="00F53A56"/>
    <w:rsid w:val="00F55145"/>
    <w:rsid w:val="00F941DC"/>
    <w:rsid w:val="00FA2C41"/>
    <w:rsid w:val="00FA3C19"/>
    <w:rsid w:val="00FE079A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5C256-A412-4CA0-8A4D-D254845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2.bremen.de/kogis/sixcms/detail.php?id=4055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8C40-8A63-482C-A750-DD2113A0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20A1B2C5.dotm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Schicktanz, Isabella (Finanzen) Ref-02</dc:creator>
  <cp:lastModifiedBy>Schicktanz, Isabella (Finanzen, 02-2)</cp:lastModifiedBy>
  <cp:revision>146</cp:revision>
  <dcterms:created xsi:type="dcterms:W3CDTF">2014-08-14T12:45:00Z</dcterms:created>
  <dcterms:modified xsi:type="dcterms:W3CDTF">2016-11-21T07:29:00Z</dcterms:modified>
</cp:coreProperties>
</file>